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20D7" w:rsidRPr="004420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0D7" w:rsidRPr="004420D7" w:rsidRDefault="004420D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420D7">
              <w:rPr>
                <w:rFonts w:ascii="Times New Roman" w:hAnsi="Times New Roman" w:cs="Times New Roman"/>
                <w:sz w:val="24"/>
                <w:szCs w:val="24"/>
              </w:rPr>
              <w:t>22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0D7" w:rsidRPr="004420D7" w:rsidRDefault="004420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7">
              <w:rPr>
                <w:rFonts w:ascii="Times New Roman" w:hAnsi="Times New Roman" w:cs="Times New Roman"/>
                <w:sz w:val="24"/>
                <w:szCs w:val="24"/>
              </w:rPr>
              <w:t>№ 77-ОЗ</w:t>
            </w:r>
          </w:p>
        </w:tc>
      </w:tr>
    </w:tbl>
    <w:p w:rsidR="004420D7" w:rsidRPr="004420D7" w:rsidRDefault="004420D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4420D7" w:rsidRPr="004420D7" w:rsidRDefault="004420D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</w:t>
      </w:r>
    </w:p>
    <w:p w:rsidR="004420D7" w:rsidRPr="004420D7" w:rsidRDefault="004420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Принят</w:t>
      </w:r>
    </w:p>
    <w:p w:rsidR="004420D7" w:rsidRPr="004420D7" w:rsidRDefault="00442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4420D7" w:rsidRPr="004420D7" w:rsidRDefault="00442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14 декабря 2023 года</w:t>
      </w: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4420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4420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от 21.12.2021 № 414-ФЗ "Об общих принципах организации публичной власти в субъектах Российской Федерации", </w:t>
      </w:r>
      <w:hyperlink r:id="rId6">
        <w:r w:rsidRPr="004420D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4420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№ 70-ОЗ "О бюджетном процессе в Ивановской области" в целях регулирования бюджетных правоотношений.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4420D7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2024 год и на плановый период 2025 и 2026 годов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На 2024 год, определенные исходя из прогнозируемого объема валового регионального продукта в размере 376252,9 млн руб. и уровня инфляции 5,3 процента (декабрь 2024 года к декабрю 2023 года):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68447903255,10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76227805367,88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дефицит областного бюджета в сумме 7779902112,78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На 2025 год, определенные исходя из прогнозируемого объема валового регионального продукта в размере 406846,4 млн руб. и уровня инфляции 5,0 процента (декабрь 2025 года к декабрю 2024 года):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60305060397,08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60867795564,63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дефицит областного бюджета в сумме 562735167,55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3. На 2026 год, определенные исходя из прогнозируемого объема валового регионального продукта в размере 433698,2 млн руб. и уровня инфляции 4,7 процента (декабрь 2026 года к декабрю 2025 года):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58751749605,19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57682950939,59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профицит областного бюджета в сумме 1068798665,60 руб.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>
        <w:r w:rsidRPr="004420D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2024 год и на плановый период 2025 и 2026 годов согласно приложению 1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4420D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420D7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4420D7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2024 год и на плановый период 2025 и 2026 годов согласно приложению 2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4420D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2024 год и на плановый период 2025 и 2026 годов согласно приложению 3 к настоящему Закону.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4420D7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доходов классификации доходов бюджетов на 2024 год и на плановый период 2025 и 2026 годов согласно приложению 4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4420D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на 2024 год в сумме 27897857516,11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на 2025 год в сумме 19361693516,11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на 2026 год в сумме 16349136916,11 руб.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>
        <w:r w:rsidRPr="004420D7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2024 год и на плановый период 2025 и 2026 годов согласно приложению 5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2024 год в сумме 20000000,00 руб.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2024 год и на плановый период 2025 и 2026 годов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13">
        <w:r w:rsidRPr="004420D7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2025 и 2026 годов согласно </w:t>
      </w:r>
      <w:hyperlink r:id="rId14">
        <w:r w:rsidRPr="004420D7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15">
        <w:r w:rsidRPr="004420D7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2) на плановый период 2025 и 2026 годов согласно </w:t>
      </w:r>
      <w:hyperlink r:id="rId16">
        <w:r w:rsidRPr="004420D7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4420D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на 2025 год в сумме 1319240852,68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на 2026 год в сумме 2600000000,00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на 2024 год в сумме 1618066851,41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на 2025 год в сумме 1506128605,68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на 2026 год в сумме 1448418273,69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2024 год в сумме 1700000000,00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в сумме 100000000,00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в сумме 100000000,00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2024 год в сумме 9114026358,57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в сумме 7174547298,22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в сумме 6950911348,22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4420D7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2024 год и на плановый период 2025 и 2026 годов согласно приложению 10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 и непрограммными направлениями деятельности органов государственной власти Ивановской области и иных государственных органов Ивановской области.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4420D7" w:rsidRPr="004420D7" w:rsidRDefault="0044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Установить, что в 2024 году обеспечение питанием спасателей поисково-спасательного отряда областного государственного казенного учреждения "Управление по обеспечению защиты населения и пожарной безопасности Ивановской области" при несении круглосуточного дежурства осуществляется из расчета 200 руб. за дежурство.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2024 год - 47297,60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- 47297,60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- 47297,60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3. Определить с 01.01.2024 с учетом размера индексации 1,053 размеры подлежащих ежегодной индексации: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- 530,47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lastRenderedPageBreak/>
        <w:t>б) труженикам тыла - 776,31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реабилитированным лицам - 828,06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- 671,37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пособия на ребенка - 339,29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- 172323,45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- 52650,00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- 142338,11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- 4243,02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- 8454,61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- 7405,15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- 7778,93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- 815,13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4. Определить с 01.01.2025 с учетом размера индексации 1,050 размеры подлежащих ежегодной индексации: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- 556,99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труженикам тыла - 815,13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реабилитированным лицам - 869,46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- 704,94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пособия на ребенка - 356,25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- 180939,62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- 55282,50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- 149455,02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- 4455,17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- 8877,34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lastRenderedPageBreak/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- 7775,41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- 8167,88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- 855,89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5. Определить с 01.01.2026 с учетом размера индексации 1,047 размеры подлежащих ежегодной индексации: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- 583,17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труженикам тыла - 853,44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реабилитированным лицам - 910,32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- 738,07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пособия на ребенка - 372,99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- 189443,78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- 57880,78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- 156479,41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- 4664,56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- 9294,57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- 8140,85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- 8551,77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- 896,12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2024 года равного 1,053.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4420D7" w:rsidRPr="004420D7" w:rsidRDefault="0044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2024 году в сумме 28998843852,71 руб., в 2025 году в сумме 19735891636,17 руб., в 2026 году в сумме 18986306743,58 руб., в том числе: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в 2024 году в сумме 28116935516,71 руб., в том числе: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дотаций - 6969574708,86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субсидий - 10167721998,58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субвенций - 8710470572,97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иных межбюджетных трансфертов - 2269168236,30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в 2025 году в сумме 18554974600,17 руб., в том числе: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дотаций - 4290053100,00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субсидий - 4285342788,44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субвенций - 8814409285,67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иных межбюджетных трансфертов - 1165169426,06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в 2026 году в сумме 17504283207,58 руб., в том числе: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дотаций - 3643968448,86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субсидий - 3912492771,32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субвенций - 8817959480,53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иных межбюджетных трансфертов - 1129862506,87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а) в 2024 году в сумме 881908336,00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б) в 2025 году в сумме 1180917036,00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в) в 2026 году в сумме 1482023536,00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решению вопросов местного значения поселений на 2024 год - 2,15, на 2025 год - 2,15, на 2026 год - 2,4;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2024 год - 3,56, на 2025 год - 3,56, на 2026 год - 3,65;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2024 год - 1,47, на 2025 год - 1,42, на 2026 год - 1,42.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2024 год в сумме 869715600,00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в сумме 827602100,00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в сумме 669275864,84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2024 год в сумме 3647213100,00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в сумме 3438151000,00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в сумме 2950392584,02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8">
        <w:r w:rsidRPr="004420D7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2024 год и на плановый период 2025 и 2026 годов согласно приложению 11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иных дотаций, предусмотренных </w:t>
      </w:r>
      <w:hyperlink r:id="rId19">
        <w:r w:rsidRPr="004420D7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№ 72-ОЗ "О межбюджетных отношениях в Ивановской области", утверждается Правительством Ивановской области.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4420D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420D7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2"/>
      <w:bookmarkEnd w:id="2"/>
      <w:r w:rsidRPr="004420D7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2">
        <w:r w:rsidRPr="004420D7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осуществляющим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4420D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420D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2023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2024 года возврату в областной бюджет в соответствии с порядком, установленным Правительством Ивановской области.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1"/>
      <w:bookmarkEnd w:id="3"/>
      <w:r w:rsidRPr="004420D7">
        <w:rPr>
          <w:rFonts w:ascii="Times New Roman" w:hAnsi="Times New Roman" w:cs="Times New Roman"/>
          <w:sz w:val="24"/>
          <w:szCs w:val="24"/>
          <w:highlight w:val="green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4420D7">
        <w:rPr>
          <w:rFonts w:ascii="Times New Roman" w:hAnsi="Times New Roman" w:cs="Times New Roman"/>
          <w:sz w:val="24"/>
          <w:szCs w:val="24"/>
          <w:highlight w:val="green"/>
        </w:rPr>
        <w:t>софинансирования</w:t>
      </w:r>
      <w:proofErr w:type="spellEnd"/>
      <w:r w:rsidRPr="004420D7">
        <w:rPr>
          <w:rFonts w:ascii="Times New Roman" w:hAnsi="Times New Roman" w:cs="Times New Roman"/>
          <w:sz w:val="24"/>
          <w:szCs w:val="24"/>
          <w:highlight w:val="green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0">
        <w:r w:rsidRPr="004420D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3"/>
      <w:bookmarkEnd w:id="4"/>
      <w:r w:rsidRPr="004420D7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4"/>
      <w:bookmarkEnd w:id="5"/>
      <w:r w:rsidRPr="004420D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1">
        <w:r w:rsidRPr="004420D7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4420D7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5"/>
      <w:bookmarkEnd w:id="6"/>
      <w:r w:rsidRPr="004420D7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</w:t>
      </w:r>
      <w:hyperlink r:id="rId23">
        <w:r w:rsidRPr="004420D7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>
        <w:r w:rsidRPr="004420D7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</w:t>
      </w:r>
      <w:hyperlink r:id="rId25">
        <w:r w:rsidRPr="004420D7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4420D7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исполнителями и соисполнителями контрактов (договоров);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7"/>
      <w:bookmarkEnd w:id="7"/>
      <w:r w:rsidRPr="004420D7">
        <w:rPr>
          <w:rFonts w:ascii="Times New Roman" w:hAnsi="Times New Roman" w:cs="Times New Roman"/>
          <w:sz w:val="24"/>
          <w:szCs w:val="24"/>
        </w:rPr>
        <w:t xml:space="preserve"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hyperlink w:anchor="P185">
        <w:r w:rsidRPr="004420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</w:t>
      </w:r>
      <w:hyperlink w:anchor="P185">
        <w:r w:rsidRPr="004420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части, а также взносы (вклады), указанные в </w:t>
      </w:r>
      <w:hyperlink w:anchor="P187">
        <w:r w:rsidRPr="004420D7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8) субсидии, предоставляемые из областного бюджета некоммерческим организациям "Региональный фонд капитального ремонта многоквартирных домов Ивановской области" и "Региональный Фонд развития промышленности Ивановской области"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1"/>
      <w:bookmarkEnd w:id="8"/>
      <w:r w:rsidRPr="004420D7">
        <w:rPr>
          <w:rFonts w:ascii="Times New Roman" w:hAnsi="Times New Roman" w:cs="Times New Roman"/>
          <w:sz w:val="24"/>
          <w:szCs w:val="24"/>
        </w:rPr>
        <w:t xml:space="preserve">4. 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</w:t>
      </w:r>
      <w:hyperlink w:anchor="P183">
        <w:r w:rsidRPr="004420D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>
        <w:r w:rsidRPr="004420D7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статьи,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5.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191">
        <w:r w:rsidRPr="004420D7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3"/>
      <w:bookmarkEnd w:id="9"/>
      <w:r w:rsidRPr="004420D7">
        <w:rPr>
          <w:rFonts w:ascii="Times New Roman" w:hAnsi="Times New Roman" w:cs="Times New Roman"/>
          <w:sz w:val="24"/>
          <w:szCs w:val="24"/>
        </w:rPr>
        <w:t xml:space="preserve">6. Установить, что в 2024 году при казначейском сопровождении средств, указанных в </w:t>
      </w:r>
      <w:hyperlink w:anchor="P183">
        <w:r w:rsidRPr="004420D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4">
        <w:r w:rsidRPr="004420D7">
          <w:rPr>
            <w:rFonts w:ascii="Times New Roman" w:hAnsi="Times New Roman" w:cs="Times New Roman"/>
            <w:sz w:val="24"/>
            <w:szCs w:val="24"/>
          </w:rPr>
          <w:t>2 части 3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7. Установить, что в 2024 году не осуществляется казначейское сопровождение: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3">
        <w:r w:rsidRPr="004420D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>
        <w:r w:rsidRPr="004420D7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- субсидии в виде имущественного взноса в имущество публично-правовой компании "Фонд развития территорий"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8. 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действовавших до вступления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 xml:space="preserve">в силу Закона Ивановской области "Об областном бюджете на 2024 год и на плановый период 2025 и 2026 годов", применяются положения </w:t>
      </w:r>
      <w:hyperlink w:anchor="P191">
        <w:r w:rsidRPr="004420D7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3">
        <w:r w:rsidRPr="004420D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4"/>
      <w:bookmarkEnd w:id="10"/>
      <w:r w:rsidRPr="004420D7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1">
        <w:r w:rsidRPr="004420D7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6"/>
      <w:bookmarkEnd w:id="11"/>
      <w:r w:rsidRPr="004420D7">
        <w:rPr>
          <w:rFonts w:ascii="Times New Roman" w:hAnsi="Times New Roman" w:cs="Times New Roman"/>
          <w:sz w:val="24"/>
          <w:szCs w:val="24"/>
        </w:rPr>
        <w:t>8) в случае увеличения бюджетных ассигнований на реализацию специального инфраструктурного проекта, а также их перераспределения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04">
        <w:r w:rsidRPr="004420D7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6">
        <w:r w:rsidRPr="004420D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4420D7" w:rsidRPr="004420D7" w:rsidRDefault="0044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1 января 2025 года в сумме 13076795343,50 руб., в том числе по государственным гарантиям в сумме 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1 января 2026 года в сумме 12181627177,19 руб., в том числе по государственным гарантиям в сумме 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1 января 2027 года в сумме 9958189388,57 руб., в том числе по государственным гарантиям в сумме 0,00 руб.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на 2024 год в сумме 94154209,63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№ 01-01-06/06-115;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в сумме 136341847,26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lastRenderedPageBreak/>
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№ 01-01-06/06-115;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в сумме 131667594,88 руб., в том числе 6502429,44 руб. на уплату процентов за рассрочку реструктуризированной задолженности по федеральным бюджетным кредитам, из них: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133073,96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№ 01-01-06/06-115;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5151815,75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1217539,73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7">
        <w:r w:rsidRPr="004420D7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4420D7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2024 год и на плановый период 2025 и 2026 годов согласно приложению 12 к настоящему Закону.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4. Установить, что в 2024 году и плановом периоде 2025 и 2026 годов государственные гарантии Ивановской области не предоставляются.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lastRenderedPageBreak/>
        <w:t>1) на 2024 год - 0,00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на 2025 год - 0,00 руб.;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3) на 2026 год - 0,00 руб.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4420D7" w:rsidRPr="004420D7" w:rsidRDefault="0044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2024 году и плановом периоде 2025 и 2026 годов в целях: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2024 году в сумме 350000000,00 руб., в 2025 - 2026 годах по 50000000,00 руб. на каждый финансовый год;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2024 году в сумме 300000000,00 руб., в 2025 - 2026 годах по 100000000,00 руб. на каждый финансовый год.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4420D7" w:rsidRPr="004420D7" w:rsidRDefault="0044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 xml:space="preserve">2. В 2023 году настоящий Закон применяется исключительно в целях обеспечения </w:t>
      </w:r>
      <w:r w:rsidRPr="004420D7">
        <w:rPr>
          <w:rFonts w:ascii="Times New Roman" w:hAnsi="Times New Roman" w:cs="Times New Roman"/>
          <w:sz w:val="24"/>
          <w:szCs w:val="24"/>
        </w:rPr>
        <w:lastRenderedPageBreak/>
        <w:t>исполнения областного бюджета в 2024 году.</w:t>
      </w:r>
    </w:p>
    <w:p w:rsidR="004420D7" w:rsidRPr="004420D7" w:rsidRDefault="0044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4420D7" w:rsidRPr="004420D7" w:rsidRDefault="004420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г. Иваново</w:t>
      </w:r>
    </w:p>
    <w:p w:rsidR="004420D7" w:rsidRPr="004420D7" w:rsidRDefault="004420D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22 декабря 2023 года</w:t>
      </w:r>
    </w:p>
    <w:p w:rsidR="004420D7" w:rsidRPr="004420D7" w:rsidRDefault="004420D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4420D7">
        <w:rPr>
          <w:rFonts w:ascii="Times New Roman" w:hAnsi="Times New Roman" w:cs="Times New Roman"/>
          <w:sz w:val="24"/>
          <w:szCs w:val="24"/>
        </w:rPr>
        <w:t>№ 77-ОЗ</w:t>
      </w: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20D7" w:rsidRPr="004420D7" w:rsidRDefault="004420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C30FCC" w:rsidRPr="004420D7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4420D7" w:rsidSect="008B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7"/>
    <w:rsid w:val="004420D7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B8A5-8A2F-4B6B-9CD7-D4B2D89D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4819&amp;dst=100228" TargetMode="External"/><Relationship Id="rId13" Type="http://schemas.openxmlformats.org/officeDocument/2006/relationships/hyperlink" Target="https://login.consultant.ru/link/?req=doc&amp;base=RLAW224&amp;n=184819&amp;dst=101030" TargetMode="External"/><Relationship Id="rId18" Type="http://schemas.openxmlformats.org/officeDocument/2006/relationships/hyperlink" Target="https://login.consultant.ru/link/?req=doc&amp;base=RLAW224&amp;n=184819&amp;dst=120269" TargetMode="External"/><Relationship Id="rId26" Type="http://schemas.openxmlformats.org/officeDocument/2006/relationships/hyperlink" Target="https://login.consultant.ru/link/?req=doc&amp;base=LAW&amp;n=470713&amp;dst=1031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713&amp;dst=3146" TargetMode="External"/><Relationship Id="rId7" Type="http://schemas.openxmlformats.org/officeDocument/2006/relationships/hyperlink" Target="https://login.consultant.ru/link/?req=doc&amp;base=RLAW224&amp;n=178388&amp;dst=100532" TargetMode="External"/><Relationship Id="rId12" Type="http://schemas.openxmlformats.org/officeDocument/2006/relationships/hyperlink" Target="https://login.consultant.ru/link/?req=doc&amp;base=RLAW224&amp;n=184819&amp;dst=100847" TargetMode="External"/><Relationship Id="rId17" Type="http://schemas.openxmlformats.org/officeDocument/2006/relationships/hyperlink" Target="https://login.consultant.ru/link/?req=doc&amp;base=RLAW224&amp;n=184819&amp;dst=119824" TargetMode="External"/><Relationship Id="rId25" Type="http://schemas.openxmlformats.org/officeDocument/2006/relationships/hyperlink" Target="https://login.consultant.ru/link/?req=doc&amp;base=LAW&amp;n=470713&amp;dst=1034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84819&amp;dst=114118" TargetMode="External"/><Relationship Id="rId20" Type="http://schemas.openxmlformats.org/officeDocument/2006/relationships/hyperlink" Target="https://login.consultant.ru/link/?req=doc&amp;base=LAW&amp;n=470713&amp;dst=67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Relationship Id="rId11" Type="http://schemas.openxmlformats.org/officeDocument/2006/relationships/hyperlink" Target="https://login.consultant.ru/link/?req=doc&amp;base=RLAW224&amp;n=184819&amp;dst=100555" TargetMode="External"/><Relationship Id="rId24" Type="http://schemas.openxmlformats.org/officeDocument/2006/relationships/hyperlink" Target="https://login.consultant.ru/link/?req=doc&amp;base=LAW&amp;n=470713&amp;dst=103142" TargetMode="External"/><Relationship Id="rId5" Type="http://schemas.openxmlformats.org/officeDocument/2006/relationships/hyperlink" Target="https://login.consultant.ru/link/?req=doc&amp;base=LAW&amp;n=454373&amp;dst=100814" TargetMode="External"/><Relationship Id="rId15" Type="http://schemas.openxmlformats.org/officeDocument/2006/relationships/hyperlink" Target="https://login.consultant.ru/link/?req=doc&amp;base=RLAW224&amp;n=184819&amp;dst=108141" TargetMode="External"/><Relationship Id="rId23" Type="http://schemas.openxmlformats.org/officeDocument/2006/relationships/hyperlink" Target="https://login.consultant.ru/link/?req=doc&amp;base=LAW&amp;n=470713&amp;dst=1034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184819&amp;dst=100494" TargetMode="External"/><Relationship Id="rId19" Type="http://schemas.openxmlformats.org/officeDocument/2006/relationships/hyperlink" Target="https://login.consultant.ru/link/?req=doc&amp;base=RLAW224&amp;n=182381&amp;dst=100552" TargetMode="External"/><Relationship Id="rId4" Type="http://schemas.openxmlformats.org/officeDocument/2006/relationships/hyperlink" Target="https://login.consultant.ru/link/?req=doc&amp;base=LAW&amp;n=470713&amp;dst=928" TargetMode="External"/><Relationship Id="rId9" Type="http://schemas.openxmlformats.org/officeDocument/2006/relationships/hyperlink" Target="https://login.consultant.ru/link/?req=doc&amp;base=RLAW224&amp;n=184819&amp;dst=100385" TargetMode="External"/><Relationship Id="rId14" Type="http://schemas.openxmlformats.org/officeDocument/2006/relationships/hyperlink" Target="https://login.consultant.ru/link/?req=doc&amp;base=RLAW224&amp;n=184819&amp;dst=104497" TargetMode="External"/><Relationship Id="rId22" Type="http://schemas.openxmlformats.org/officeDocument/2006/relationships/hyperlink" Target="https://login.consultant.ru/link/?req=doc&amp;base=LAW&amp;n=470713&amp;dst=103433" TargetMode="External"/><Relationship Id="rId27" Type="http://schemas.openxmlformats.org/officeDocument/2006/relationships/hyperlink" Target="https://login.consultant.ru/link/?req=doc&amp;base=RLAW224&amp;n=184819&amp;dst=12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2024-04-09T06:33:00Z</dcterms:created>
  <dcterms:modified xsi:type="dcterms:W3CDTF">2024-04-09T06:36:00Z</dcterms:modified>
</cp:coreProperties>
</file>