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center"/>
              <w:rPr>
                <w:b/>
                <w:bCs/>
                <w:sz w:val="20"/>
                <w:szCs w:val="20"/>
              </w:rPr>
            </w:pPr>
            <w:r w:rsidRPr="00FA1462">
              <w:rPr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27D5A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                                                 на   01.</w:t>
            </w:r>
            <w:r w:rsidR="00127D5A">
              <w:rPr>
                <w:sz w:val="20"/>
                <w:szCs w:val="20"/>
              </w:rPr>
              <w:t>10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D838D6">
              <w:rPr>
                <w:sz w:val="20"/>
                <w:szCs w:val="20"/>
              </w:rPr>
              <w:t>3</w:t>
            </w:r>
            <w:r w:rsidRPr="00FA146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127D5A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01.</w:t>
            </w:r>
            <w:r w:rsidR="00127D5A">
              <w:rPr>
                <w:sz w:val="20"/>
                <w:szCs w:val="20"/>
                <w:lang w:val="en-US"/>
              </w:rPr>
              <w:t>10</w:t>
            </w:r>
            <w:r w:rsidRPr="00FA1462">
              <w:rPr>
                <w:sz w:val="20"/>
                <w:szCs w:val="20"/>
              </w:rPr>
              <w:t>.20</w:t>
            </w:r>
            <w:r w:rsidR="00583346" w:rsidRPr="00FA1462">
              <w:rPr>
                <w:sz w:val="20"/>
                <w:szCs w:val="20"/>
              </w:rPr>
              <w:t>2</w:t>
            </w:r>
            <w:r w:rsidR="00D838D6">
              <w:rPr>
                <w:sz w:val="20"/>
                <w:szCs w:val="20"/>
              </w:rPr>
              <w:t>3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FA1462" w:rsidRDefault="00951E76" w:rsidP="00350233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Единица измерения: </w:t>
            </w:r>
            <w:r w:rsidR="00951E76" w:rsidRPr="00FA1462">
              <w:rPr>
                <w:sz w:val="20"/>
                <w:szCs w:val="20"/>
              </w:rPr>
              <w:t>руб.</w:t>
            </w:r>
          </w:p>
          <w:p w:rsidR="00A46EBE" w:rsidRPr="00FA1462" w:rsidRDefault="00A46EBE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Default="008F6548" w:rsidP="008F654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</w:t>
      </w:r>
      <w:r w:rsidR="00242A79">
        <w:rPr>
          <w:b/>
          <w:color w:val="000000"/>
          <w:sz w:val="28"/>
          <w:szCs w:val="28"/>
        </w:rPr>
        <w:t xml:space="preserve"> ВДК</w:t>
      </w:r>
      <w:r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E24274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E24274">
        <w:rPr>
          <w:sz w:val="28"/>
          <w:szCs w:val="28"/>
        </w:rPr>
        <w:t xml:space="preserve">2 </w:t>
      </w:r>
      <w:r w:rsidRPr="00E24274">
        <w:rPr>
          <w:sz w:val="28"/>
          <w:szCs w:val="28"/>
        </w:rPr>
        <w:t>"собственные доходы учреждения" в графе 8 отражен</w:t>
      </w:r>
      <w:r w:rsidR="00E24274"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 w:rsidR="00E24274"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84237C" w:rsidRPr="0044172C" w:rsidRDefault="006C468D" w:rsidP="0044172C">
      <w:pPr>
        <w:ind w:firstLine="720"/>
        <w:jc w:val="both"/>
        <w:rPr>
          <w:rFonts w:cs="Calibri"/>
        </w:rPr>
      </w:pPr>
      <w:r>
        <w:rPr>
          <w:sz w:val="28"/>
          <w:szCs w:val="28"/>
        </w:rPr>
        <w:t>-</w:t>
      </w:r>
      <w:r w:rsidR="002F5EF1" w:rsidRPr="002F5EF1">
        <w:rPr>
          <w:color w:val="000000"/>
          <w:sz w:val="28"/>
          <w:szCs w:val="28"/>
        </w:rPr>
        <w:t xml:space="preserve"> </w:t>
      </w:r>
      <w:r w:rsidR="0044172C">
        <w:rPr>
          <w:color w:val="000000"/>
          <w:sz w:val="28"/>
          <w:szCs w:val="28"/>
        </w:rPr>
        <w:t>в</w:t>
      </w:r>
      <w:r w:rsidR="0044172C" w:rsidRPr="006C468D">
        <w:rPr>
          <w:color w:val="000000"/>
          <w:sz w:val="28"/>
        </w:rPr>
        <w:t xml:space="preserve"> </w:t>
      </w:r>
      <w:r w:rsidR="0044172C">
        <w:rPr>
          <w:color w:val="000000"/>
          <w:sz w:val="28"/>
        </w:rPr>
        <w:t>сумме</w:t>
      </w:r>
      <w:r w:rsidRPr="006C468D">
        <w:rPr>
          <w:color w:val="000000"/>
          <w:sz w:val="28"/>
        </w:rPr>
        <w:t xml:space="preserve"> </w:t>
      </w:r>
      <w:r w:rsidR="0044172C" w:rsidRPr="0044172C">
        <w:rPr>
          <w:color w:val="000000"/>
          <w:sz w:val="28"/>
        </w:rPr>
        <w:t>35</w:t>
      </w:r>
      <w:r w:rsidR="0044172C">
        <w:rPr>
          <w:color w:val="000000"/>
          <w:sz w:val="28"/>
          <w:lang w:val="en-US"/>
        </w:rPr>
        <w:t> </w:t>
      </w:r>
      <w:r w:rsidR="0044172C">
        <w:rPr>
          <w:color w:val="000000"/>
          <w:sz w:val="28"/>
        </w:rPr>
        <w:t>460,</w:t>
      </w:r>
      <w:r w:rsidR="0044172C" w:rsidRPr="0044172C">
        <w:rPr>
          <w:color w:val="000000"/>
          <w:sz w:val="28"/>
        </w:rPr>
        <w:t>98</w:t>
      </w:r>
      <w:r w:rsidR="004E7F7E">
        <w:rPr>
          <w:color w:val="000000"/>
          <w:sz w:val="28"/>
        </w:rPr>
        <w:t xml:space="preserve"> </w:t>
      </w:r>
      <w:r w:rsidR="0011426E">
        <w:rPr>
          <w:color w:val="000000"/>
          <w:sz w:val="28"/>
        </w:rPr>
        <w:t>рублей</w:t>
      </w:r>
      <w:r w:rsidRPr="006C468D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отражена</w:t>
      </w:r>
      <w:r w:rsidRPr="006C468D">
        <w:rPr>
          <w:color w:val="000000"/>
          <w:sz w:val="28"/>
        </w:rPr>
        <w:t xml:space="preserve"> неустойка за нарушение условий </w:t>
      </w:r>
      <w:r w:rsidR="00C232FF" w:rsidRPr="006C468D">
        <w:rPr>
          <w:color w:val="000000"/>
          <w:sz w:val="28"/>
        </w:rPr>
        <w:t>контрак</w:t>
      </w:r>
      <w:r w:rsidR="00C232FF">
        <w:rPr>
          <w:color w:val="000000"/>
          <w:sz w:val="28"/>
        </w:rPr>
        <w:t>та удержана</w:t>
      </w:r>
      <w:r w:rsidR="0044172C">
        <w:rPr>
          <w:color w:val="000000"/>
          <w:sz w:val="28"/>
        </w:rPr>
        <w:t xml:space="preserve"> из оплаты контракт</w:t>
      </w:r>
      <w:r w:rsidR="005E466A">
        <w:rPr>
          <w:color w:val="000000"/>
          <w:sz w:val="28"/>
        </w:rPr>
        <w:t>а</w:t>
      </w:r>
      <w:r w:rsidR="0044172C">
        <w:rPr>
          <w:color w:val="000000"/>
          <w:sz w:val="28"/>
        </w:rPr>
        <w:t>;</w:t>
      </w:r>
    </w:p>
    <w:p w:rsidR="008F0D71" w:rsidRDefault="0044172C" w:rsidP="0044172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</w:t>
      </w:r>
      <w:r w:rsidR="008F0D71">
        <w:rPr>
          <w:color w:val="000000"/>
          <w:sz w:val="28"/>
          <w:szCs w:val="28"/>
        </w:rPr>
        <w:t xml:space="preserve">в сумме </w:t>
      </w:r>
      <w:r w:rsidR="005D2542" w:rsidRPr="005D2542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  <w:lang w:val="en-US"/>
        </w:rPr>
        <w:t> </w:t>
      </w:r>
      <w:r w:rsidR="005D2542" w:rsidRPr="005D2542">
        <w:rPr>
          <w:color w:val="000000"/>
          <w:sz w:val="28"/>
          <w:szCs w:val="28"/>
        </w:rPr>
        <w:t>88</w:t>
      </w:r>
      <w:r>
        <w:rPr>
          <w:color w:val="000000"/>
          <w:sz w:val="28"/>
          <w:szCs w:val="28"/>
        </w:rPr>
        <w:t>3 155,66</w:t>
      </w:r>
      <w:r w:rsidR="0011426E">
        <w:rPr>
          <w:color w:val="000000"/>
          <w:sz w:val="28"/>
          <w:szCs w:val="28"/>
        </w:rPr>
        <w:t xml:space="preserve"> рублей</w:t>
      </w:r>
      <w:r w:rsidR="008F0D71">
        <w:rPr>
          <w:color w:val="000000"/>
          <w:sz w:val="28"/>
          <w:szCs w:val="28"/>
        </w:rPr>
        <w:t xml:space="preserve"> отражен взаимозачет операций: уменьшение расчетов с дебиторами по доходам прекращением встречного требования зачетом;</w:t>
      </w:r>
    </w:p>
    <w:p w:rsidR="008F0D71" w:rsidRPr="0084237C" w:rsidRDefault="008F0D71" w:rsidP="008F0D71">
      <w:pPr>
        <w:jc w:val="both"/>
        <w:rPr>
          <w:rFonts w:ascii="Calibri" w:hAnsi="Calibri" w:cs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в сумме 1,30 руб</w:t>
      </w:r>
      <w:r w:rsidR="0011426E">
        <w:rPr>
          <w:color w:val="000000"/>
          <w:sz w:val="28"/>
          <w:szCs w:val="28"/>
        </w:rPr>
        <w:t xml:space="preserve">лей </w:t>
      </w:r>
      <w:r w:rsidRPr="0084237C">
        <w:rPr>
          <w:sz w:val="28"/>
          <w:szCs w:val="28"/>
        </w:rPr>
        <w:t>отражена некассовая операция - автоматический зачет (удержание) комиссии банковской организацией за обработку платежа в адрес учреждения</w:t>
      </w:r>
      <w:r>
        <w:rPr>
          <w:sz w:val="28"/>
          <w:szCs w:val="28"/>
        </w:rPr>
        <w:t xml:space="preserve">, </w:t>
      </w:r>
      <w:r w:rsidRPr="0084237C">
        <w:rPr>
          <w:sz w:val="28"/>
          <w:szCs w:val="28"/>
        </w:rPr>
        <w:t>поступившего за реализацию товаров (ветеринарных препаратов).</w:t>
      </w:r>
    </w:p>
    <w:p w:rsidR="008F0D71" w:rsidRPr="0084237C" w:rsidRDefault="008F0D71" w:rsidP="008F0D71">
      <w:pPr>
        <w:jc w:val="both"/>
        <w:rPr>
          <w:color w:val="000000"/>
          <w:sz w:val="28"/>
          <w:szCs w:val="28"/>
        </w:rPr>
      </w:pPr>
    </w:p>
    <w:p w:rsidR="008F0D71" w:rsidRPr="0084237C" w:rsidRDefault="008F0D71" w:rsidP="004E7F7E">
      <w:pPr>
        <w:jc w:val="both"/>
        <w:rPr>
          <w:color w:val="000000"/>
          <w:sz w:val="28"/>
          <w:szCs w:val="28"/>
        </w:rPr>
      </w:pPr>
    </w:p>
    <w:p w:rsidR="00716474" w:rsidRDefault="00716474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0503737 (</w:t>
      </w:r>
      <w:r w:rsidR="001D095A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)</w:t>
      </w:r>
    </w:p>
    <w:p w:rsidR="001D095A" w:rsidRDefault="001D095A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716474" w:rsidRPr="00E24274" w:rsidRDefault="00716474" w:rsidP="0071647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 w:rsidR="001D095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24274">
        <w:rPr>
          <w:sz w:val="28"/>
          <w:szCs w:val="28"/>
        </w:rPr>
        <w:t>"</w:t>
      </w:r>
      <w:r w:rsidR="001D095A">
        <w:rPr>
          <w:sz w:val="28"/>
          <w:szCs w:val="28"/>
        </w:rPr>
        <w:t>государственное задание</w:t>
      </w:r>
      <w:r w:rsidRPr="00E24274">
        <w:rPr>
          <w:sz w:val="28"/>
          <w:szCs w:val="28"/>
        </w:rPr>
        <w:t>" в графе 8 отражен</w:t>
      </w:r>
      <w:r>
        <w:rPr>
          <w:sz w:val="28"/>
          <w:szCs w:val="28"/>
        </w:rPr>
        <w:t>о</w:t>
      </w:r>
      <w:r w:rsidRPr="00E24274">
        <w:rPr>
          <w:sz w:val="28"/>
          <w:szCs w:val="28"/>
        </w:rPr>
        <w:t xml:space="preserve"> исполнен</w:t>
      </w:r>
      <w:r>
        <w:rPr>
          <w:sz w:val="28"/>
          <w:szCs w:val="28"/>
        </w:rPr>
        <w:t>ие по</w:t>
      </w:r>
      <w:r w:rsidRPr="00E24274">
        <w:rPr>
          <w:sz w:val="28"/>
          <w:szCs w:val="28"/>
        </w:rPr>
        <w:t xml:space="preserve"> некассовым операциям:</w:t>
      </w:r>
    </w:p>
    <w:p w:rsidR="001D095A" w:rsidRDefault="00716474" w:rsidP="001D095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2F5E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сумме </w:t>
      </w:r>
      <w:r w:rsidR="001D095A">
        <w:rPr>
          <w:color w:val="000000"/>
          <w:sz w:val="28"/>
          <w:szCs w:val="28"/>
        </w:rPr>
        <w:t>27</w:t>
      </w:r>
      <w:r w:rsidR="004E7F7E">
        <w:rPr>
          <w:color w:val="000000"/>
          <w:sz w:val="28"/>
          <w:szCs w:val="28"/>
        </w:rPr>
        <w:t xml:space="preserve"> 960,80 </w:t>
      </w:r>
      <w:r w:rsidR="001D095A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</w:t>
      </w:r>
      <w:r w:rsidR="001D095A">
        <w:rPr>
          <w:color w:val="000000"/>
          <w:sz w:val="28"/>
        </w:rPr>
        <w:t>отражена</w:t>
      </w:r>
      <w:r w:rsidR="001D095A" w:rsidRPr="006C468D">
        <w:rPr>
          <w:color w:val="000000"/>
          <w:sz w:val="28"/>
        </w:rPr>
        <w:t xml:space="preserve"> неустойка за нарушение условий контракта удержана из оплаты контракта</w:t>
      </w:r>
      <w:r w:rsidR="005E466A">
        <w:rPr>
          <w:color w:val="000000"/>
          <w:sz w:val="28"/>
        </w:rPr>
        <w:t>;</w:t>
      </w:r>
    </w:p>
    <w:p w:rsidR="00A26846" w:rsidRPr="0084237C" w:rsidRDefault="00A26846" w:rsidP="00A2684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в сумме 1000,00 руб. отражен зачет суммы штрафа в счет оплаты по контракту.</w:t>
      </w:r>
    </w:p>
    <w:p w:rsidR="00A26846" w:rsidRDefault="00A26846" w:rsidP="001D095A">
      <w:pPr>
        <w:jc w:val="both"/>
        <w:rPr>
          <w:color w:val="000000"/>
          <w:sz w:val="28"/>
          <w:szCs w:val="28"/>
        </w:rPr>
      </w:pPr>
    </w:p>
    <w:p w:rsidR="001D095A" w:rsidRDefault="001D095A" w:rsidP="001D095A">
      <w:pPr>
        <w:jc w:val="both"/>
        <w:rPr>
          <w:color w:val="000000"/>
          <w:sz w:val="28"/>
          <w:szCs w:val="28"/>
        </w:rPr>
      </w:pPr>
    </w:p>
    <w:p w:rsidR="00165130" w:rsidRDefault="00165130" w:rsidP="001D095A">
      <w:pPr>
        <w:jc w:val="center"/>
        <w:rPr>
          <w:b/>
          <w:color w:val="000000"/>
          <w:sz w:val="28"/>
          <w:szCs w:val="28"/>
        </w:rPr>
      </w:pPr>
      <w:r w:rsidRPr="00165130">
        <w:rPr>
          <w:b/>
          <w:color w:val="000000"/>
          <w:sz w:val="28"/>
          <w:szCs w:val="28"/>
        </w:rPr>
        <w:t>Пояснение ВДК к форме 0503737 (7)</w:t>
      </w:r>
    </w:p>
    <w:p w:rsidR="00772E55" w:rsidRDefault="00772E55" w:rsidP="00772E5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E24274">
        <w:rPr>
          <w:sz w:val="28"/>
          <w:szCs w:val="28"/>
        </w:rPr>
        <w:lastRenderedPageBreak/>
        <w:t>В Отчете об исполнении учреждением плана его финансово-хозяйственной деятельности (ф.0303737) по вид</w:t>
      </w:r>
      <w:r>
        <w:rPr>
          <w:sz w:val="28"/>
          <w:szCs w:val="28"/>
        </w:rPr>
        <w:t>у</w:t>
      </w:r>
      <w:r w:rsidRPr="00E24274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7 </w:t>
      </w:r>
      <w:r w:rsidRPr="00E24274">
        <w:rPr>
          <w:sz w:val="28"/>
          <w:szCs w:val="28"/>
        </w:rPr>
        <w:t>"</w:t>
      </w:r>
      <w:r w:rsidRPr="00772E55">
        <w:rPr>
          <w:rFonts w:eastAsiaTheme="minorHAnsi"/>
          <w:sz w:val="28"/>
          <w:szCs w:val="28"/>
          <w:lang w:eastAsia="en-US"/>
        </w:rPr>
        <w:t xml:space="preserve"> </w:t>
      </w:r>
      <w:r w:rsidRPr="00772E55">
        <w:rPr>
          <w:sz w:val="28"/>
          <w:szCs w:val="28"/>
        </w:rPr>
        <w:t>средства по обязательному медицинскому страхованию</w:t>
      </w:r>
      <w:r w:rsidRPr="00E24274">
        <w:rPr>
          <w:sz w:val="28"/>
          <w:szCs w:val="28"/>
        </w:rPr>
        <w:t>"</w:t>
      </w:r>
      <w:r w:rsidR="00344BF9">
        <w:rPr>
          <w:sz w:val="28"/>
          <w:szCs w:val="28"/>
        </w:rPr>
        <w:t>:</w:t>
      </w:r>
    </w:p>
    <w:p w:rsidR="0011426E" w:rsidRDefault="0011426E" w:rsidP="00772E5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11426E">
        <w:rPr>
          <w:color w:val="000000"/>
          <w:sz w:val="28"/>
        </w:rPr>
        <w:t>Показател</w:t>
      </w:r>
      <w:r>
        <w:rPr>
          <w:color w:val="000000"/>
          <w:sz w:val="28"/>
        </w:rPr>
        <w:t>ь по строке 010, 040 графы 7 в сумме 234,60 руб</w:t>
      </w:r>
      <w:r w:rsidR="00DA4589">
        <w:rPr>
          <w:color w:val="000000"/>
          <w:sz w:val="28"/>
        </w:rPr>
        <w:t>лей</w:t>
      </w:r>
      <w:r w:rsidRPr="0011426E">
        <w:rPr>
          <w:color w:val="000000"/>
          <w:sz w:val="28"/>
        </w:rPr>
        <w:t xml:space="preserve"> </w:t>
      </w:r>
      <w:r w:rsidR="00400D8D">
        <w:rPr>
          <w:color w:val="000000"/>
          <w:sz w:val="28"/>
        </w:rPr>
        <w:t xml:space="preserve">- </w:t>
      </w:r>
      <w:r w:rsidR="00B20BC2">
        <w:rPr>
          <w:color w:val="000000"/>
          <w:sz w:val="28"/>
        </w:rPr>
        <w:t xml:space="preserve">ошибочно </w:t>
      </w:r>
      <w:r w:rsidR="00400D8D">
        <w:rPr>
          <w:color w:val="000000"/>
          <w:sz w:val="28"/>
        </w:rPr>
        <w:t xml:space="preserve">отражено </w:t>
      </w:r>
      <w:r w:rsidR="00400D8D" w:rsidRPr="0011426E">
        <w:rPr>
          <w:color w:val="000000"/>
          <w:sz w:val="28"/>
        </w:rPr>
        <w:t>поступление</w:t>
      </w:r>
      <w:r w:rsidR="00400D8D">
        <w:rPr>
          <w:color w:val="000000"/>
          <w:sz w:val="28"/>
        </w:rPr>
        <w:t xml:space="preserve"> </w:t>
      </w:r>
      <w:r w:rsidRPr="0011426E">
        <w:rPr>
          <w:color w:val="000000"/>
          <w:sz w:val="28"/>
        </w:rPr>
        <w:t>в кассу учреждения возмещения ущерба по выявленной недостаче, следовало отразить поступление по КФО 2</w:t>
      </w:r>
      <w:r w:rsidR="00B20BC2">
        <w:rPr>
          <w:color w:val="000000"/>
          <w:sz w:val="28"/>
        </w:rPr>
        <w:t>.</w:t>
      </w:r>
    </w:p>
    <w:p w:rsidR="00364346" w:rsidRDefault="0001212A" w:rsidP="00364346">
      <w:pPr>
        <w:spacing w:after="16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</w:t>
      </w:r>
      <w:r w:rsidR="00364346" w:rsidRPr="00364346">
        <w:rPr>
          <w:color w:val="000000"/>
          <w:sz w:val="28"/>
        </w:rPr>
        <w:t xml:space="preserve">Показатель по строке </w:t>
      </w:r>
      <w:r w:rsidR="00C02948" w:rsidRPr="00364346">
        <w:rPr>
          <w:color w:val="000000"/>
          <w:sz w:val="28"/>
        </w:rPr>
        <w:t>060</w:t>
      </w:r>
      <w:r w:rsidR="00C02948">
        <w:rPr>
          <w:color w:val="000000"/>
          <w:sz w:val="28"/>
        </w:rPr>
        <w:t xml:space="preserve"> </w:t>
      </w:r>
      <w:r w:rsidR="00C02948" w:rsidRPr="00364346">
        <w:rPr>
          <w:color w:val="000000"/>
          <w:sz w:val="28"/>
        </w:rPr>
        <w:t>граф</w:t>
      </w:r>
      <w:r w:rsidR="00364346" w:rsidRPr="00364346">
        <w:rPr>
          <w:color w:val="000000"/>
          <w:sz w:val="28"/>
        </w:rPr>
        <w:t xml:space="preserve"> 4, 5, 9</w:t>
      </w:r>
      <w:r w:rsidR="00364346">
        <w:rPr>
          <w:color w:val="000000"/>
          <w:sz w:val="28"/>
        </w:rPr>
        <w:t>, 10</w:t>
      </w:r>
      <w:r w:rsidR="00364346" w:rsidRPr="00364346">
        <w:rPr>
          <w:color w:val="000000"/>
          <w:sz w:val="28"/>
        </w:rPr>
        <w:t xml:space="preserve"> </w:t>
      </w:r>
      <w:r w:rsidR="00364346">
        <w:rPr>
          <w:color w:val="000000"/>
          <w:sz w:val="28"/>
        </w:rPr>
        <w:t xml:space="preserve">по суммам </w:t>
      </w:r>
      <w:r w:rsidR="005E466A">
        <w:rPr>
          <w:color w:val="000000"/>
          <w:sz w:val="28"/>
        </w:rPr>
        <w:t>56 988 181,22</w:t>
      </w:r>
      <w:r w:rsidR="00364346">
        <w:rPr>
          <w:color w:val="000000"/>
          <w:sz w:val="28"/>
        </w:rPr>
        <w:t xml:space="preserve"> рублей, </w:t>
      </w:r>
      <w:r w:rsidR="005E466A">
        <w:rPr>
          <w:color w:val="000000"/>
          <w:sz w:val="28"/>
        </w:rPr>
        <w:t>36 226 618,21</w:t>
      </w:r>
      <w:r w:rsidR="00364346">
        <w:rPr>
          <w:color w:val="000000"/>
          <w:sz w:val="28"/>
        </w:rPr>
        <w:t xml:space="preserve"> рублей, </w:t>
      </w:r>
      <w:r w:rsidR="005E466A">
        <w:rPr>
          <w:color w:val="000000"/>
          <w:sz w:val="28"/>
        </w:rPr>
        <w:t>36 226 618,21</w:t>
      </w:r>
      <w:r w:rsidR="00364346">
        <w:rPr>
          <w:color w:val="000000"/>
          <w:sz w:val="28"/>
        </w:rPr>
        <w:t xml:space="preserve"> рублей, </w:t>
      </w:r>
      <w:r w:rsidR="005E466A">
        <w:rPr>
          <w:color w:val="000000"/>
          <w:sz w:val="28"/>
        </w:rPr>
        <w:t>20 761 563,01</w:t>
      </w:r>
      <w:r w:rsidR="00364346">
        <w:rPr>
          <w:color w:val="000000"/>
          <w:sz w:val="28"/>
        </w:rPr>
        <w:t xml:space="preserve"> рублей соответственно</w:t>
      </w:r>
      <w:r w:rsidR="006C468D">
        <w:rPr>
          <w:color w:val="000000"/>
          <w:sz w:val="28"/>
        </w:rPr>
        <w:t xml:space="preserve"> отражены</w:t>
      </w:r>
      <w:r w:rsidR="00364346" w:rsidRPr="00364346">
        <w:rPr>
          <w:color w:val="000000"/>
          <w:sz w:val="28"/>
        </w:rPr>
        <w:t xml:space="preserve"> </w:t>
      </w:r>
      <w:r w:rsidR="006C468D">
        <w:rPr>
          <w:color w:val="000000"/>
          <w:sz w:val="28"/>
        </w:rPr>
        <w:t>денежные</w:t>
      </w:r>
      <w:r w:rsidR="00364346" w:rsidRPr="00364346">
        <w:rPr>
          <w:color w:val="000000"/>
          <w:sz w:val="28"/>
        </w:rPr>
        <w:t xml:space="preserve"> средств</w:t>
      </w:r>
      <w:r w:rsidR="006C468D">
        <w:rPr>
          <w:color w:val="000000"/>
          <w:sz w:val="28"/>
        </w:rPr>
        <w:t>а</w:t>
      </w:r>
      <w:r w:rsidR="00364346" w:rsidRPr="00364346">
        <w:rPr>
          <w:color w:val="000000"/>
          <w:sz w:val="28"/>
        </w:rPr>
        <w:t xml:space="preserve"> нормированного страхового запаса территориального фонда обязательного медицинского страхования для </w:t>
      </w:r>
      <w:proofErr w:type="spellStart"/>
      <w:r w:rsidR="00364346" w:rsidRPr="00364346">
        <w:rPr>
          <w:color w:val="000000"/>
          <w:sz w:val="28"/>
        </w:rPr>
        <w:t>софинансирования</w:t>
      </w:r>
      <w:proofErr w:type="spellEnd"/>
      <w:r w:rsidR="00364346" w:rsidRPr="00364346">
        <w:rPr>
          <w:color w:val="000000"/>
          <w:sz w:val="28"/>
        </w:rPr>
        <w:t xml:space="preserve"> расходов медицинских организаций на оплату труда врачей и среднего медицинского персонала.</w:t>
      </w:r>
    </w:p>
    <w:p w:rsidR="004B68B3" w:rsidRDefault="004B68B3" w:rsidP="00364346">
      <w:pPr>
        <w:spacing w:after="160"/>
        <w:jc w:val="both"/>
        <w:rPr>
          <w:color w:val="000000"/>
          <w:sz w:val="28"/>
        </w:rPr>
      </w:pPr>
    </w:p>
    <w:p w:rsidR="004B68B3" w:rsidRDefault="004B68B3" w:rsidP="004B68B3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ВДК к форме 05037</w:t>
      </w:r>
      <w:r>
        <w:rPr>
          <w:b/>
          <w:color w:val="000000"/>
          <w:sz w:val="28"/>
          <w:szCs w:val="28"/>
        </w:rPr>
        <w:t>69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Д </w:t>
      </w: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)</w:t>
      </w:r>
    </w:p>
    <w:p w:rsidR="004B68B3" w:rsidRPr="002829F7" w:rsidRDefault="002829F7" w:rsidP="002829F7">
      <w:pPr>
        <w:spacing w:after="16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О</w:t>
      </w:r>
      <w:r w:rsidR="009F4AC1" w:rsidRPr="009F4AC1">
        <w:rPr>
          <w:color w:val="000000"/>
          <w:sz w:val="28"/>
        </w:rPr>
        <w:t>статк</w:t>
      </w:r>
      <w:r>
        <w:rPr>
          <w:color w:val="000000"/>
          <w:sz w:val="28"/>
        </w:rPr>
        <w:t>и</w:t>
      </w:r>
      <w:r w:rsidR="009F4AC1" w:rsidRPr="009F4AC1">
        <w:rPr>
          <w:color w:val="000000"/>
          <w:sz w:val="28"/>
        </w:rPr>
        <w:t xml:space="preserve"> по счету</w:t>
      </w:r>
      <w:r>
        <w:rPr>
          <w:color w:val="000000"/>
          <w:sz w:val="28"/>
        </w:rPr>
        <w:t xml:space="preserve"> 5</w:t>
      </w:r>
      <w:r w:rsidR="009F4AC1" w:rsidRPr="009F4AC1">
        <w:rPr>
          <w:color w:val="000000"/>
          <w:sz w:val="28"/>
        </w:rPr>
        <w:t>30305</w:t>
      </w:r>
      <w:r>
        <w:rPr>
          <w:color w:val="000000"/>
          <w:sz w:val="28"/>
        </w:rPr>
        <w:t>001</w:t>
      </w:r>
      <w:r w:rsidR="009F4AC1" w:rsidRPr="009F4AC1">
        <w:rPr>
          <w:color w:val="000000"/>
          <w:sz w:val="28"/>
        </w:rPr>
        <w:t xml:space="preserve"> </w:t>
      </w:r>
      <w:r w:rsidR="00946966">
        <w:rPr>
          <w:color w:val="000000"/>
          <w:sz w:val="28"/>
        </w:rPr>
        <w:t xml:space="preserve">в разделе 1 графы 2 </w:t>
      </w:r>
      <w:r>
        <w:rPr>
          <w:color w:val="000000"/>
          <w:sz w:val="28"/>
        </w:rPr>
        <w:t xml:space="preserve">в сумме 3 096,08 рублей </w:t>
      </w:r>
      <w:r w:rsidR="003A1F17">
        <w:rPr>
          <w:color w:val="000000"/>
          <w:sz w:val="28"/>
        </w:rPr>
        <w:t xml:space="preserve">– отражена </w:t>
      </w:r>
      <w:r w:rsidRPr="002829F7">
        <w:rPr>
          <w:sz w:val="28"/>
          <w:szCs w:val="28"/>
        </w:rPr>
        <w:t>де</w:t>
      </w:r>
      <w:r w:rsidR="003A1F17">
        <w:rPr>
          <w:color w:val="000000"/>
          <w:sz w:val="28"/>
          <w:szCs w:val="28"/>
        </w:rPr>
        <w:t>биторская задолженность</w:t>
      </w:r>
      <w:bookmarkStart w:id="0" w:name="_GoBack"/>
      <w:bookmarkEnd w:id="0"/>
      <w:r>
        <w:rPr>
          <w:color w:val="000000"/>
          <w:sz w:val="28"/>
          <w:szCs w:val="28"/>
        </w:rPr>
        <w:t xml:space="preserve">, которая </w:t>
      </w:r>
      <w:r w:rsidRPr="002829F7">
        <w:rPr>
          <w:color w:val="000000"/>
          <w:sz w:val="28"/>
          <w:szCs w:val="28"/>
        </w:rPr>
        <w:t>возникла в связи с удержанием с учителей переплаты</w:t>
      </w:r>
      <w:r>
        <w:rPr>
          <w:color w:val="000000"/>
          <w:sz w:val="28"/>
          <w:szCs w:val="28"/>
        </w:rPr>
        <w:t xml:space="preserve"> по акту проверки контрольными органами.</w:t>
      </w:r>
    </w:p>
    <w:p w:rsidR="00E70F20" w:rsidRPr="002829F7" w:rsidRDefault="00E70F20" w:rsidP="00E70F20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2829F7">
        <w:rPr>
          <w:b/>
          <w:color w:val="000000"/>
          <w:sz w:val="28"/>
          <w:szCs w:val="28"/>
        </w:rPr>
        <w:t xml:space="preserve">Пояснение ВДК к форме 0503769 </w:t>
      </w:r>
      <w:r w:rsidRPr="002829F7">
        <w:rPr>
          <w:b/>
          <w:color w:val="000000"/>
          <w:sz w:val="28"/>
          <w:szCs w:val="28"/>
        </w:rPr>
        <w:t>К</w:t>
      </w:r>
      <w:r w:rsidRPr="002829F7">
        <w:rPr>
          <w:b/>
          <w:color w:val="000000"/>
          <w:sz w:val="28"/>
          <w:szCs w:val="28"/>
        </w:rPr>
        <w:t xml:space="preserve"> (5)</w:t>
      </w:r>
    </w:p>
    <w:p w:rsidR="00F91380" w:rsidRPr="00F91380" w:rsidRDefault="00F91380" w:rsidP="00F91380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F91380">
        <w:rPr>
          <w:color w:val="000000"/>
          <w:sz w:val="28"/>
          <w:szCs w:val="28"/>
        </w:rPr>
        <w:t xml:space="preserve">Остатки по счету 530305001 в сумме </w:t>
      </w:r>
      <w:r>
        <w:rPr>
          <w:color w:val="000000"/>
          <w:sz w:val="28"/>
          <w:szCs w:val="28"/>
        </w:rPr>
        <w:t xml:space="preserve">425 874 070,01 </w:t>
      </w:r>
      <w:r w:rsidRPr="00F91380">
        <w:rPr>
          <w:color w:val="000000"/>
          <w:sz w:val="28"/>
          <w:szCs w:val="28"/>
        </w:rPr>
        <w:t>рублей</w:t>
      </w:r>
      <w:r w:rsidR="00FB4A77">
        <w:rPr>
          <w:color w:val="000000"/>
          <w:sz w:val="28"/>
          <w:szCs w:val="28"/>
        </w:rPr>
        <w:t xml:space="preserve"> </w:t>
      </w:r>
      <w:r w:rsidR="00DC30C4">
        <w:rPr>
          <w:color w:val="000000"/>
          <w:sz w:val="28"/>
          <w:szCs w:val="28"/>
        </w:rPr>
        <w:t>-</w:t>
      </w:r>
      <w:r w:rsidR="00FB4A77" w:rsidRPr="00FB4A77">
        <w:rPr>
          <w:color w:val="000000"/>
          <w:sz w:val="28"/>
          <w:szCs w:val="28"/>
        </w:rPr>
        <w:t>потребность, заявленная учреждениями по оплате контрактов,</w:t>
      </w:r>
      <w:r w:rsidR="00FB4A77">
        <w:rPr>
          <w:color w:val="000000"/>
          <w:sz w:val="28"/>
          <w:szCs w:val="28"/>
        </w:rPr>
        <w:t xml:space="preserve"> </w:t>
      </w:r>
      <w:r w:rsidR="00FB4A77" w:rsidRPr="00FB4A77">
        <w:rPr>
          <w:color w:val="000000"/>
          <w:sz w:val="28"/>
          <w:szCs w:val="28"/>
        </w:rPr>
        <w:t xml:space="preserve">заключенных в 2022 году и неисполненных на 01.01.2023.  </w:t>
      </w:r>
    </w:p>
    <w:p w:rsidR="00CC16EC" w:rsidRDefault="00CC16EC" w:rsidP="00CC16EC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Пояснение МДК к форме 0503769 Д/К</w:t>
      </w:r>
    </w:p>
    <w:p w:rsidR="00CC16EC" w:rsidRPr="00CC16EC" w:rsidRDefault="00B77AFB" w:rsidP="00CC16EC">
      <w:pPr>
        <w:pStyle w:val="a7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Суммы отклонений</w:t>
      </w:r>
      <w:r w:rsidR="00CC16EC">
        <w:rPr>
          <w:color w:val="000000"/>
          <w:sz w:val="28"/>
          <w:szCs w:val="28"/>
        </w:rPr>
        <w:t xml:space="preserve"> по остаткам на начало года с </w:t>
      </w:r>
      <w:r>
        <w:rPr>
          <w:color w:val="000000"/>
          <w:sz w:val="28"/>
          <w:szCs w:val="28"/>
        </w:rPr>
        <w:t xml:space="preserve">остатками </w:t>
      </w:r>
      <w:r w:rsidR="005654EA">
        <w:rPr>
          <w:color w:val="000000"/>
          <w:sz w:val="28"/>
          <w:szCs w:val="28"/>
        </w:rPr>
        <w:t>на конец</w:t>
      </w:r>
      <w:r w:rsidR="00B00806">
        <w:rPr>
          <w:color w:val="000000"/>
          <w:sz w:val="28"/>
          <w:szCs w:val="28"/>
        </w:rPr>
        <w:t xml:space="preserve"> 2022</w:t>
      </w:r>
      <w:r w:rsidR="00CC16EC">
        <w:rPr>
          <w:color w:val="000000"/>
          <w:sz w:val="28"/>
          <w:szCs w:val="28"/>
        </w:rPr>
        <w:t xml:space="preserve"> год отражены в формах 0503773.</w:t>
      </w:r>
    </w:p>
    <w:p w:rsidR="00161A72" w:rsidRPr="00161A72" w:rsidRDefault="00161A72" w:rsidP="00161A72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4C6020" w:rsidRDefault="004C6020" w:rsidP="00DD357A">
      <w:pPr>
        <w:ind w:left="-567" w:firstLine="567"/>
        <w:jc w:val="both"/>
        <w:rPr>
          <w:sz w:val="28"/>
          <w:szCs w:val="28"/>
        </w:rPr>
      </w:pPr>
    </w:p>
    <w:p w:rsidR="004C6020" w:rsidRDefault="004C6020" w:rsidP="00DD357A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директора </w:t>
      </w:r>
    </w:p>
    <w:p w:rsidR="004C6020" w:rsidRDefault="004C6020" w:rsidP="00DD357A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Департамента финансов Ивановской</w:t>
      </w:r>
    </w:p>
    <w:p w:rsidR="000C2EE2" w:rsidRPr="000C2EE2" w:rsidRDefault="004C6020" w:rsidP="00DD357A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области – статс - секретарь</w:t>
      </w:r>
      <w:r w:rsidR="000C2EE2" w:rsidRPr="000C2EE2">
        <w:rPr>
          <w:sz w:val="28"/>
          <w:szCs w:val="28"/>
        </w:rPr>
        <w:t xml:space="preserve">                                            </w:t>
      </w:r>
      <w:r w:rsidR="00D41B1B">
        <w:rPr>
          <w:sz w:val="28"/>
          <w:szCs w:val="28"/>
        </w:rPr>
        <w:t xml:space="preserve">        </w:t>
      </w:r>
      <w:r w:rsidR="000C2EE2" w:rsidRPr="000C2EE2">
        <w:rPr>
          <w:sz w:val="28"/>
          <w:szCs w:val="28"/>
        </w:rPr>
        <w:t xml:space="preserve"> </w:t>
      </w:r>
      <w:r w:rsidR="00DD357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С.В. Голова</w:t>
      </w:r>
    </w:p>
    <w:p w:rsidR="000C2EE2" w:rsidRPr="000C2EE2" w:rsidRDefault="000C2EE2" w:rsidP="00DD357A">
      <w:pPr>
        <w:ind w:left="-567" w:firstLine="567"/>
        <w:jc w:val="both"/>
        <w:rPr>
          <w:sz w:val="28"/>
          <w:szCs w:val="28"/>
        </w:rPr>
      </w:pPr>
    </w:p>
    <w:p w:rsidR="004C6020" w:rsidRDefault="004C6020" w:rsidP="00002500">
      <w:pPr>
        <w:jc w:val="both"/>
        <w:rPr>
          <w:sz w:val="28"/>
          <w:szCs w:val="28"/>
        </w:rPr>
      </w:pPr>
    </w:p>
    <w:p w:rsidR="004C6020" w:rsidRDefault="004C6020" w:rsidP="00002500">
      <w:pPr>
        <w:jc w:val="both"/>
        <w:rPr>
          <w:sz w:val="28"/>
          <w:szCs w:val="28"/>
        </w:rPr>
      </w:pPr>
    </w:p>
    <w:p w:rsidR="00504605" w:rsidRDefault="00002500" w:rsidP="0000250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EE2" w:rsidRPr="000C2EE2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C2EE2" w:rsidRPr="000C2EE2">
        <w:rPr>
          <w:sz w:val="28"/>
          <w:szCs w:val="28"/>
        </w:rPr>
        <w:t xml:space="preserve"> бухгалтер                    </w:t>
      </w:r>
      <w:r w:rsidR="00EE5B18">
        <w:rPr>
          <w:sz w:val="28"/>
          <w:szCs w:val="28"/>
        </w:rPr>
        <w:t xml:space="preserve">  </w:t>
      </w:r>
      <w:r w:rsidR="000C2EE2" w:rsidRPr="000C2EE2">
        <w:rPr>
          <w:sz w:val="28"/>
          <w:szCs w:val="28"/>
        </w:rPr>
        <w:t xml:space="preserve">            </w:t>
      </w:r>
      <w:r w:rsidR="00D41B1B">
        <w:rPr>
          <w:sz w:val="28"/>
          <w:szCs w:val="28"/>
        </w:rPr>
        <w:t xml:space="preserve">           </w:t>
      </w:r>
      <w:r w:rsidR="000C2EE2" w:rsidRPr="000C2EE2">
        <w:rPr>
          <w:sz w:val="28"/>
          <w:szCs w:val="28"/>
        </w:rPr>
        <w:t xml:space="preserve">       </w:t>
      </w:r>
      <w:r w:rsidR="000B5AFF">
        <w:rPr>
          <w:sz w:val="28"/>
          <w:szCs w:val="28"/>
        </w:rPr>
        <w:t xml:space="preserve">     </w:t>
      </w:r>
      <w:r w:rsidR="000C2EE2" w:rsidRPr="000C2EE2">
        <w:rPr>
          <w:sz w:val="28"/>
          <w:szCs w:val="28"/>
        </w:rPr>
        <w:t xml:space="preserve">       </w:t>
      </w:r>
      <w:r w:rsidR="000B5A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4C6020">
        <w:rPr>
          <w:sz w:val="28"/>
          <w:szCs w:val="28"/>
        </w:rPr>
        <w:t>Е.А. Чиркунова</w:t>
      </w:r>
      <w:r w:rsidR="000C2EE2" w:rsidRPr="000C2EE2">
        <w:rPr>
          <w:sz w:val="28"/>
          <w:szCs w:val="28"/>
        </w:rPr>
        <w:t xml:space="preserve">      </w:t>
      </w:r>
      <w:r w:rsidR="00615733">
        <w:rPr>
          <w:sz w:val="28"/>
          <w:szCs w:val="28"/>
        </w:rPr>
        <w:t xml:space="preserve">   </w:t>
      </w:r>
      <w:r w:rsidR="000C2EE2" w:rsidRPr="000C2EE2">
        <w:rPr>
          <w:sz w:val="28"/>
          <w:szCs w:val="28"/>
        </w:rPr>
        <w:t xml:space="preserve">  </w:t>
      </w:r>
      <w:r w:rsidR="00DD357A">
        <w:rPr>
          <w:sz w:val="28"/>
          <w:szCs w:val="28"/>
        </w:rPr>
        <w:t xml:space="preserve">    </w:t>
      </w:r>
      <w:r w:rsidR="000C2EE2" w:rsidRPr="000C2EE2">
        <w:rPr>
          <w:sz w:val="28"/>
          <w:szCs w:val="28"/>
        </w:rPr>
        <w:t xml:space="preserve"> </w:t>
      </w: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500"/>
    <w:rsid w:val="00002C89"/>
    <w:rsid w:val="0001212A"/>
    <w:rsid w:val="00021633"/>
    <w:rsid w:val="00023B02"/>
    <w:rsid w:val="000251BB"/>
    <w:rsid w:val="00054B6A"/>
    <w:rsid w:val="00057E09"/>
    <w:rsid w:val="00081109"/>
    <w:rsid w:val="0009396E"/>
    <w:rsid w:val="000A61A0"/>
    <w:rsid w:val="000B3056"/>
    <w:rsid w:val="000B3DFC"/>
    <w:rsid w:val="000B4229"/>
    <w:rsid w:val="000B5AFF"/>
    <w:rsid w:val="000C2EE2"/>
    <w:rsid w:val="000C7119"/>
    <w:rsid w:val="000F40D7"/>
    <w:rsid w:val="000F682B"/>
    <w:rsid w:val="00112A3F"/>
    <w:rsid w:val="0011426E"/>
    <w:rsid w:val="0011482E"/>
    <w:rsid w:val="001148F0"/>
    <w:rsid w:val="00120165"/>
    <w:rsid w:val="00127D5A"/>
    <w:rsid w:val="00140862"/>
    <w:rsid w:val="001472D8"/>
    <w:rsid w:val="0014783B"/>
    <w:rsid w:val="00150D82"/>
    <w:rsid w:val="00152995"/>
    <w:rsid w:val="00161A72"/>
    <w:rsid w:val="00165130"/>
    <w:rsid w:val="0017238B"/>
    <w:rsid w:val="00173F19"/>
    <w:rsid w:val="00175230"/>
    <w:rsid w:val="00186A86"/>
    <w:rsid w:val="001A4B5E"/>
    <w:rsid w:val="001A4D5F"/>
    <w:rsid w:val="001A5991"/>
    <w:rsid w:val="001B3EDF"/>
    <w:rsid w:val="001D095A"/>
    <w:rsid w:val="001D2160"/>
    <w:rsid w:val="001F1915"/>
    <w:rsid w:val="00211B59"/>
    <w:rsid w:val="0021201D"/>
    <w:rsid w:val="002139FD"/>
    <w:rsid w:val="00236EEC"/>
    <w:rsid w:val="00242A79"/>
    <w:rsid w:val="00255502"/>
    <w:rsid w:val="00256CF2"/>
    <w:rsid w:val="00257DA3"/>
    <w:rsid w:val="002633B3"/>
    <w:rsid w:val="00265835"/>
    <w:rsid w:val="00267AAB"/>
    <w:rsid w:val="002746BA"/>
    <w:rsid w:val="00280E67"/>
    <w:rsid w:val="002829F7"/>
    <w:rsid w:val="002A16AE"/>
    <w:rsid w:val="002A72D4"/>
    <w:rsid w:val="002B04B2"/>
    <w:rsid w:val="002B2197"/>
    <w:rsid w:val="002B3A2B"/>
    <w:rsid w:val="002B4019"/>
    <w:rsid w:val="002B6F4F"/>
    <w:rsid w:val="002C4D95"/>
    <w:rsid w:val="002F5EF1"/>
    <w:rsid w:val="003120B8"/>
    <w:rsid w:val="0032776F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322D"/>
    <w:rsid w:val="00364346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1F17"/>
    <w:rsid w:val="003A3279"/>
    <w:rsid w:val="003B1D28"/>
    <w:rsid w:val="003B274D"/>
    <w:rsid w:val="003C1233"/>
    <w:rsid w:val="003D0EF0"/>
    <w:rsid w:val="003D15D7"/>
    <w:rsid w:val="003E5787"/>
    <w:rsid w:val="003F1021"/>
    <w:rsid w:val="003F37F5"/>
    <w:rsid w:val="00400D8D"/>
    <w:rsid w:val="004133C5"/>
    <w:rsid w:val="00432A9E"/>
    <w:rsid w:val="00435A2E"/>
    <w:rsid w:val="0044172C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A2026"/>
    <w:rsid w:val="004A329C"/>
    <w:rsid w:val="004B224A"/>
    <w:rsid w:val="004B3271"/>
    <w:rsid w:val="004B68B3"/>
    <w:rsid w:val="004B76FF"/>
    <w:rsid w:val="004C4A52"/>
    <w:rsid w:val="004C6020"/>
    <w:rsid w:val="004E0454"/>
    <w:rsid w:val="004E0CBE"/>
    <w:rsid w:val="004E2788"/>
    <w:rsid w:val="004E7F7E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54EA"/>
    <w:rsid w:val="00573F82"/>
    <w:rsid w:val="00576E9A"/>
    <w:rsid w:val="00583346"/>
    <w:rsid w:val="00594BB1"/>
    <w:rsid w:val="005A048F"/>
    <w:rsid w:val="005A05E0"/>
    <w:rsid w:val="005A648B"/>
    <w:rsid w:val="005A7F94"/>
    <w:rsid w:val="005B526F"/>
    <w:rsid w:val="005D2542"/>
    <w:rsid w:val="005E273E"/>
    <w:rsid w:val="005E466A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4027E"/>
    <w:rsid w:val="00655FB1"/>
    <w:rsid w:val="00682338"/>
    <w:rsid w:val="00695E45"/>
    <w:rsid w:val="006A4AC5"/>
    <w:rsid w:val="006B4878"/>
    <w:rsid w:val="006B6025"/>
    <w:rsid w:val="006C4231"/>
    <w:rsid w:val="006C468D"/>
    <w:rsid w:val="006D7614"/>
    <w:rsid w:val="006E4D97"/>
    <w:rsid w:val="006F0A37"/>
    <w:rsid w:val="006F2776"/>
    <w:rsid w:val="00710AB6"/>
    <w:rsid w:val="00716474"/>
    <w:rsid w:val="00720110"/>
    <w:rsid w:val="00721C47"/>
    <w:rsid w:val="0073482C"/>
    <w:rsid w:val="00760C71"/>
    <w:rsid w:val="00764590"/>
    <w:rsid w:val="00764DF1"/>
    <w:rsid w:val="007721B8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1714"/>
    <w:rsid w:val="008225A0"/>
    <w:rsid w:val="008231A5"/>
    <w:rsid w:val="0082656A"/>
    <w:rsid w:val="00833ACF"/>
    <w:rsid w:val="0084237C"/>
    <w:rsid w:val="008425EC"/>
    <w:rsid w:val="00852F7A"/>
    <w:rsid w:val="00864ABF"/>
    <w:rsid w:val="008802C8"/>
    <w:rsid w:val="008B1C79"/>
    <w:rsid w:val="008B29C4"/>
    <w:rsid w:val="008B5AC3"/>
    <w:rsid w:val="008C0959"/>
    <w:rsid w:val="008C0C0D"/>
    <w:rsid w:val="008C7FF5"/>
    <w:rsid w:val="008D1527"/>
    <w:rsid w:val="008E07CD"/>
    <w:rsid w:val="008F0D71"/>
    <w:rsid w:val="008F6548"/>
    <w:rsid w:val="008F7D87"/>
    <w:rsid w:val="0091604A"/>
    <w:rsid w:val="009179BC"/>
    <w:rsid w:val="00925A15"/>
    <w:rsid w:val="00946966"/>
    <w:rsid w:val="00951E76"/>
    <w:rsid w:val="00951F86"/>
    <w:rsid w:val="009522E2"/>
    <w:rsid w:val="00957010"/>
    <w:rsid w:val="009749A9"/>
    <w:rsid w:val="00977514"/>
    <w:rsid w:val="009776D6"/>
    <w:rsid w:val="009B0FBE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9F4AC1"/>
    <w:rsid w:val="00A0023E"/>
    <w:rsid w:val="00A04331"/>
    <w:rsid w:val="00A04699"/>
    <w:rsid w:val="00A16156"/>
    <w:rsid w:val="00A21726"/>
    <w:rsid w:val="00A22536"/>
    <w:rsid w:val="00A26846"/>
    <w:rsid w:val="00A317E7"/>
    <w:rsid w:val="00A46EBE"/>
    <w:rsid w:val="00A471D7"/>
    <w:rsid w:val="00A51C13"/>
    <w:rsid w:val="00A52E72"/>
    <w:rsid w:val="00A52F18"/>
    <w:rsid w:val="00A64440"/>
    <w:rsid w:val="00A76880"/>
    <w:rsid w:val="00A87C2D"/>
    <w:rsid w:val="00A90077"/>
    <w:rsid w:val="00A96EF8"/>
    <w:rsid w:val="00AA31BF"/>
    <w:rsid w:val="00AB0D88"/>
    <w:rsid w:val="00AB5F89"/>
    <w:rsid w:val="00AC64D7"/>
    <w:rsid w:val="00AD500B"/>
    <w:rsid w:val="00AD69D5"/>
    <w:rsid w:val="00AE084D"/>
    <w:rsid w:val="00AE28A5"/>
    <w:rsid w:val="00AF3DCC"/>
    <w:rsid w:val="00B00806"/>
    <w:rsid w:val="00B01ED4"/>
    <w:rsid w:val="00B038C3"/>
    <w:rsid w:val="00B05AB9"/>
    <w:rsid w:val="00B1394D"/>
    <w:rsid w:val="00B20BC2"/>
    <w:rsid w:val="00B21926"/>
    <w:rsid w:val="00B22AE3"/>
    <w:rsid w:val="00B22AEB"/>
    <w:rsid w:val="00B24BEA"/>
    <w:rsid w:val="00B24E86"/>
    <w:rsid w:val="00B33490"/>
    <w:rsid w:val="00B353FC"/>
    <w:rsid w:val="00B41172"/>
    <w:rsid w:val="00B5627C"/>
    <w:rsid w:val="00B60388"/>
    <w:rsid w:val="00B70CDB"/>
    <w:rsid w:val="00B71815"/>
    <w:rsid w:val="00B7728E"/>
    <w:rsid w:val="00B77AFB"/>
    <w:rsid w:val="00B812EE"/>
    <w:rsid w:val="00BA00D3"/>
    <w:rsid w:val="00BA303F"/>
    <w:rsid w:val="00BA4675"/>
    <w:rsid w:val="00BA77C9"/>
    <w:rsid w:val="00BB1107"/>
    <w:rsid w:val="00BB1196"/>
    <w:rsid w:val="00BC0818"/>
    <w:rsid w:val="00BD0D23"/>
    <w:rsid w:val="00BD4DC4"/>
    <w:rsid w:val="00BF7D75"/>
    <w:rsid w:val="00C02948"/>
    <w:rsid w:val="00C02C46"/>
    <w:rsid w:val="00C13E9A"/>
    <w:rsid w:val="00C20A9D"/>
    <w:rsid w:val="00C232FF"/>
    <w:rsid w:val="00C34206"/>
    <w:rsid w:val="00C35E33"/>
    <w:rsid w:val="00C56CB0"/>
    <w:rsid w:val="00C57E99"/>
    <w:rsid w:val="00C6732B"/>
    <w:rsid w:val="00C71496"/>
    <w:rsid w:val="00C944DF"/>
    <w:rsid w:val="00CB414C"/>
    <w:rsid w:val="00CC16EC"/>
    <w:rsid w:val="00CC1B4F"/>
    <w:rsid w:val="00CD065B"/>
    <w:rsid w:val="00CE107D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6133E"/>
    <w:rsid w:val="00D61C15"/>
    <w:rsid w:val="00D75058"/>
    <w:rsid w:val="00D838D6"/>
    <w:rsid w:val="00D90481"/>
    <w:rsid w:val="00DA4589"/>
    <w:rsid w:val="00DA512F"/>
    <w:rsid w:val="00DB06BF"/>
    <w:rsid w:val="00DB56C3"/>
    <w:rsid w:val="00DB775B"/>
    <w:rsid w:val="00DC2914"/>
    <w:rsid w:val="00DC30C4"/>
    <w:rsid w:val="00DC3AEB"/>
    <w:rsid w:val="00DD357A"/>
    <w:rsid w:val="00DE28F4"/>
    <w:rsid w:val="00DE4E64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4166"/>
    <w:rsid w:val="00E64B52"/>
    <w:rsid w:val="00E70F20"/>
    <w:rsid w:val="00E75458"/>
    <w:rsid w:val="00EA5EB0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CEA"/>
    <w:rsid w:val="00F35E3F"/>
    <w:rsid w:val="00F366CD"/>
    <w:rsid w:val="00F40553"/>
    <w:rsid w:val="00F41BA7"/>
    <w:rsid w:val="00F45F81"/>
    <w:rsid w:val="00F50A6E"/>
    <w:rsid w:val="00F63CE0"/>
    <w:rsid w:val="00F64182"/>
    <w:rsid w:val="00F759EE"/>
    <w:rsid w:val="00F77C4B"/>
    <w:rsid w:val="00F8192B"/>
    <w:rsid w:val="00F81FC1"/>
    <w:rsid w:val="00F91380"/>
    <w:rsid w:val="00FA1462"/>
    <w:rsid w:val="00FB2AA5"/>
    <w:rsid w:val="00FB4768"/>
    <w:rsid w:val="00FB4A77"/>
    <w:rsid w:val="00FB4F35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spacing w:before="100" w:beforeAutospacing="1" w:after="100" w:afterAutospacing="1"/>
    </w:p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53</cp:revision>
  <cp:lastPrinted>2023-10-27T09:10:00Z</cp:lastPrinted>
  <dcterms:created xsi:type="dcterms:W3CDTF">2023-07-20T12:10:00Z</dcterms:created>
  <dcterms:modified xsi:type="dcterms:W3CDTF">2023-10-27T10:24:00Z</dcterms:modified>
</cp:coreProperties>
</file>